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7D4044">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4E1" w:rsidRDefault="002364E1">
      <w:r>
        <w:separator/>
      </w:r>
    </w:p>
  </w:endnote>
  <w:endnote w:type="continuationSeparator" w:id="1">
    <w:p w:rsidR="002364E1" w:rsidRDefault="00236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4E1" w:rsidRDefault="002364E1">
      <w:r>
        <w:separator/>
      </w:r>
    </w:p>
  </w:footnote>
  <w:footnote w:type="continuationSeparator" w:id="1">
    <w:p w:rsidR="002364E1" w:rsidRDefault="00236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7D4044">
    <w:pPr>
      <w:pStyle w:val="af0"/>
      <w:jc w:val="center"/>
      <w:rPr>
        <w:rFonts w:ascii="Times New Roman" w:eastAsia="Times New Roman" w:hAnsi="Times New Roman"/>
        <w:sz w:val="28"/>
      </w:rPr>
    </w:pPr>
    <w:r w:rsidRPr="007D4044">
      <w:fldChar w:fldCharType="begin"/>
    </w:r>
    <w:r w:rsidR="00C621E4">
      <w:instrText>PAGE \* MERGEFORMAT</w:instrText>
    </w:r>
    <w:r w:rsidRPr="007D4044">
      <w:fldChar w:fldCharType="separate"/>
    </w:r>
    <w:r w:rsidR="004E7ED0" w:rsidRPr="004E7ED0">
      <w:rPr>
        <w:rFonts w:ascii="Times New Roman" w:eastAsia="Times New Roman" w:hAnsi="Times New Roman"/>
        <w:noProof/>
        <w:sz w:val="28"/>
      </w:rPr>
      <w:t>17</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7B71"/>
    <w:rsid w:val="002364E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E7ED0"/>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4044"/>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44"/>
    <w:pPr>
      <w:ind w:firstLine="709"/>
      <w:jc w:val="both"/>
    </w:pPr>
    <w:rPr>
      <w:sz w:val="22"/>
      <w:szCs w:val="22"/>
      <w:lang w:eastAsia="en-US"/>
    </w:rPr>
  </w:style>
  <w:style w:type="paragraph" w:styleId="1">
    <w:name w:val="heading 1"/>
    <w:basedOn w:val="a"/>
    <w:next w:val="a"/>
    <w:link w:val="10"/>
    <w:uiPriority w:val="9"/>
    <w:qFormat/>
    <w:rsid w:val="007D404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7D404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7D404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D404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D404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D404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D404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D404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D404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044"/>
    <w:rPr>
      <w:rFonts w:ascii="Arial" w:eastAsia="Arial" w:hAnsi="Arial" w:cs="Arial"/>
      <w:sz w:val="40"/>
      <w:szCs w:val="40"/>
    </w:rPr>
  </w:style>
  <w:style w:type="character" w:customStyle="1" w:styleId="20">
    <w:name w:val="Заголовок 2 Знак"/>
    <w:basedOn w:val="a0"/>
    <w:link w:val="2"/>
    <w:uiPriority w:val="9"/>
    <w:rsid w:val="007D4044"/>
    <w:rPr>
      <w:rFonts w:ascii="Arial" w:eastAsia="Arial" w:hAnsi="Arial" w:cs="Arial"/>
      <w:sz w:val="34"/>
    </w:rPr>
  </w:style>
  <w:style w:type="character" w:customStyle="1" w:styleId="30">
    <w:name w:val="Заголовок 3 Знак"/>
    <w:basedOn w:val="a0"/>
    <w:link w:val="3"/>
    <w:uiPriority w:val="9"/>
    <w:rsid w:val="007D4044"/>
    <w:rPr>
      <w:rFonts w:ascii="Arial" w:eastAsia="Arial" w:hAnsi="Arial" w:cs="Arial"/>
      <w:sz w:val="30"/>
      <w:szCs w:val="30"/>
    </w:rPr>
  </w:style>
  <w:style w:type="character" w:customStyle="1" w:styleId="40">
    <w:name w:val="Заголовок 4 Знак"/>
    <w:basedOn w:val="a0"/>
    <w:link w:val="4"/>
    <w:uiPriority w:val="9"/>
    <w:rsid w:val="007D4044"/>
    <w:rPr>
      <w:rFonts w:ascii="Arial" w:eastAsia="Arial" w:hAnsi="Arial" w:cs="Arial"/>
      <w:b/>
      <w:bCs/>
      <w:sz w:val="26"/>
      <w:szCs w:val="26"/>
    </w:rPr>
  </w:style>
  <w:style w:type="character" w:customStyle="1" w:styleId="50">
    <w:name w:val="Заголовок 5 Знак"/>
    <w:basedOn w:val="a0"/>
    <w:link w:val="5"/>
    <w:uiPriority w:val="9"/>
    <w:rsid w:val="007D4044"/>
    <w:rPr>
      <w:rFonts w:ascii="Arial" w:eastAsia="Arial" w:hAnsi="Arial" w:cs="Arial"/>
      <w:b/>
      <w:bCs/>
      <w:sz w:val="24"/>
      <w:szCs w:val="24"/>
    </w:rPr>
  </w:style>
  <w:style w:type="character" w:customStyle="1" w:styleId="60">
    <w:name w:val="Заголовок 6 Знак"/>
    <w:basedOn w:val="a0"/>
    <w:link w:val="6"/>
    <w:uiPriority w:val="9"/>
    <w:rsid w:val="007D4044"/>
    <w:rPr>
      <w:rFonts w:ascii="Arial" w:eastAsia="Arial" w:hAnsi="Arial" w:cs="Arial"/>
      <w:b/>
      <w:bCs/>
      <w:sz w:val="22"/>
      <w:szCs w:val="22"/>
    </w:rPr>
  </w:style>
  <w:style w:type="character" w:customStyle="1" w:styleId="70">
    <w:name w:val="Заголовок 7 Знак"/>
    <w:basedOn w:val="a0"/>
    <w:link w:val="7"/>
    <w:uiPriority w:val="9"/>
    <w:rsid w:val="007D4044"/>
    <w:rPr>
      <w:rFonts w:ascii="Arial" w:eastAsia="Arial" w:hAnsi="Arial" w:cs="Arial"/>
      <w:b/>
      <w:bCs/>
      <w:i/>
      <w:iCs/>
      <w:sz w:val="22"/>
      <w:szCs w:val="22"/>
    </w:rPr>
  </w:style>
  <w:style w:type="character" w:customStyle="1" w:styleId="80">
    <w:name w:val="Заголовок 8 Знак"/>
    <w:basedOn w:val="a0"/>
    <w:link w:val="8"/>
    <w:uiPriority w:val="9"/>
    <w:rsid w:val="007D4044"/>
    <w:rPr>
      <w:rFonts w:ascii="Arial" w:eastAsia="Arial" w:hAnsi="Arial" w:cs="Arial"/>
      <w:i/>
      <w:iCs/>
      <w:sz w:val="22"/>
      <w:szCs w:val="22"/>
    </w:rPr>
  </w:style>
  <w:style w:type="character" w:customStyle="1" w:styleId="90">
    <w:name w:val="Заголовок 9 Знак"/>
    <w:basedOn w:val="a0"/>
    <w:link w:val="9"/>
    <w:uiPriority w:val="9"/>
    <w:rsid w:val="007D4044"/>
    <w:rPr>
      <w:rFonts w:ascii="Arial" w:eastAsia="Arial" w:hAnsi="Arial" w:cs="Arial"/>
      <w:i/>
      <w:iCs/>
      <w:sz w:val="21"/>
      <w:szCs w:val="21"/>
    </w:rPr>
  </w:style>
  <w:style w:type="paragraph" w:styleId="a3">
    <w:name w:val="No Spacing"/>
    <w:uiPriority w:val="1"/>
    <w:qFormat/>
    <w:rsid w:val="007D4044"/>
  </w:style>
  <w:style w:type="paragraph" w:styleId="a4">
    <w:name w:val="Title"/>
    <w:basedOn w:val="a"/>
    <w:next w:val="a"/>
    <w:link w:val="a5"/>
    <w:uiPriority w:val="10"/>
    <w:qFormat/>
    <w:rsid w:val="007D4044"/>
    <w:pPr>
      <w:spacing w:before="300" w:after="200"/>
      <w:contextualSpacing/>
    </w:pPr>
    <w:rPr>
      <w:sz w:val="48"/>
      <w:szCs w:val="48"/>
    </w:rPr>
  </w:style>
  <w:style w:type="character" w:customStyle="1" w:styleId="a5">
    <w:name w:val="Название Знак"/>
    <w:basedOn w:val="a0"/>
    <w:link w:val="a4"/>
    <w:uiPriority w:val="10"/>
    <w:rsid w:val="007D4044"/>
    <w:rPr>
      <w:sz w:val="48"/>
      <w:szCs w:val="48"/>
    </w:rPr>
  </w:style>
  <w:style w:type="paragraph" w:styleId="a6">
    <w:name w:val="Subtitle"/>
    <w:basedOn w:val="a"/>
    <w:next w:val="a"/>
    <w:link w:val="a7"/>
    <w:uiPriority w:val="11"/>
    <w:qFormat/>
    <w:rsid w:val="007D4044"/>
    <w:pPr>
      <w:spacing w:before="200" w:after="200"/>
    </w:pPr>
    <w:rPr>
      <w:sz w:val="24"/>
      <w:szCs w:val="24"/>
    </w:rPr>
  </w:style>
  <w:style w:type="character" w:customStyle="1" w:styleId="a7">
    <w:name w:val="Подзаголовок Знак"/>
    <w:basedOn w:val="a0"/>
    <w:link w:val="a6"/>
    <w:uiPriority w:val="11"/>
    <w:rsid w:val="007D4044"/>
    <w:rPr>
      <w:sz w:val="24"/>
      <w:szCs w:val="24"/>
    </w:rPr>
  </w:style>
  <w:style w:type="paragraph" w:styleId="21">
    <w:name w:val="Quote"/>
    <w:basedOn w:val="a"/>
    <w:next w:val="a"/>
    <w:link w:val="22"/>
    <w:uiPriority w:val="29"/>
    <w:qFormat/>
    <w:rsid w:val="007D4044"/>
    <w:pPr>
      <w:ind w:left="720" w:right="720"/>
    </w:pPr>
    <w:rPr>
      <w:i/>
    </w:rPr>
  </w:style>
  <w:style w:type="character" w:customStyle="1" w:styleId="22">
    <w:name w:val="Цитата 2 Знак"/>
    <w:link w:val="21"/>
    <w:uiPriority w:val="29"/>
    <w:rsid w:val="007D4044"/>
    <w:rPr>
      <w:i/>
    </w:rPr>
  </w:style>
  <w:style w:type="paragraph" w:styleId="a8">
    <w:name w:val="Intense Quote"/>
    <w:basedOn w:val="a"/>
    <w:next w:val="a"/>
    <w:link w:val="a9"/>
    <w:uiPriority w:val="30"/>
    <w:qFormat/>
    <w:rsid w:val="007D4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D4044"/>
    <w:rPr>
      <w:i/>
    </w:rPr>
  </w:style>
  <w:style w:type="character" w:customStyle="1" w:styleId="HeaderChar">
    <w:name w:val="Header Char"/>
    <w:basedOn w:val="a0"/>
    <w:uiPriority w:val="99"/>
    <w:rsid w:val="007D4044"/>
  </w:style>
  <w:style w:type="character" w:customStyle="1" w:styleId="FooterChar">
    <w:name w:val="Footer Char"/>
    <w:basedOn w:val="a0"/>
    <w:uiPriority w:val="99"/>
    <w:rsid w:val="007D4044"/>
  </w:style>
  <w:style w:type="paragraph" w:styleId="aa">
    <w:name w:val="caption"/>
    <w:basedOn w:val="a"/>
    <w:next w:val="a"/>
    <w:uiPriority w:val="35"/>
    <w:semiHidden/>
    <w:unhideWhenUsed/>
    <w:qFormat/>
    <w:rsid w:val="007D4044"/>
    <w:pPr>
      <w:spacing w:line="276" w:lineRule="auto"/>
    </w:pPr>
    <w:rPr>
      <w:b/>
      <w:bCs/>
      <w:color w:val="5B9BD5" w:themeColor="accent1"/>
      <w:sz w:val="18"/>
      <w:szCs w:val="18"/>
    </w:rPr>
  </w:style>
  <w:style w:type="character" w:customStyle="1" w:styleId="CaptionChar">
    <w:name w:val="Caption Char"/>
    <w:uiPriority w:val="99"/>
    <w:rsid w:val="007D4044"/>
  </w:style>
  <w:style w:type="table" w:customStyle="1" w:styleId="TableGridLight">
    <w:name w:val="Table Grid Light"/>
    <w:basedOn w:val="a1"/>
    <w:uiPriority w:val="59"/>
    <w:rsid w:val="007D40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D40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D40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D40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D404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D404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D404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D404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D404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D404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D40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D404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D404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D404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D404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D404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D404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D40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D404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D404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D404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D404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D404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D404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D40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D404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D404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D404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D404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D404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D404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D40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D40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D4044"/>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D404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D404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D404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D404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D404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D40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D4044"/>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D404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D404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D404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D4044"/>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D404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D404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D40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D4044"/>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D404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D404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D404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D4044"/>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D404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D40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D4044"/>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D404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D404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D404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D4044"/>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D404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D40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D404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D404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D404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D404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D404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D404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D40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D4044"/>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D404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D404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D404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D4044"/>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D404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D40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D4044"/>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D404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D404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D404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D4044"/>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D404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D404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D4044"/>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D404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D404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D404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D4044"/>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D404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D4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D404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D4044"/>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D4044"/>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D4044"/>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D4044"/>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D4044"/>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D4044"/>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D40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D404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D404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D404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D404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D404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D404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7D4044"/>
    <w:rPr>
      <w:sz w:val="18"/>
    </w:rPr>
  </w:style>
  <w:style w:type="paragraph" w:styleId="ab">
    <w:name w:val="endnote text"/>
    <w:basedOn w:val="a"/>
    <w:link w:val="ac"/>
    <w:uiPriority w:val="99"/>
    <w:semiHidden/>
    <w:unhideWhenUsed/>
    <w:rsid w:val="007D4044"/>
    <w:rPr>
      <w:sz w:val="20"/>
    </w:rPr>
  </w:style>
  <w:style w:type="character" w:customStyle="1" w:styleId="ac">
    <w:name w:val="Текст концевой сноски Знак"/>
    <w:link w:val="ab"/>
    <w:uiPriority w:val="99"/>
    <w:rsid w:val="007D4044"/>
    <w:rPr>
      <w:sz w:val="20"/>
    </w:rPr>
  </w:style>
  <w:style w:type="character" w:styleId="ad">
    <w:name w:val="endnote reference"/>
    <w:basedOn w:val="a0"/>
    <w:uiPriority w:val="99"/>
    <w:semiHidden/>
    <w:unhideWhenUsed/>
    <w:rsid w:val="007D4044"/>
    <w:rPr>
      <w:vertAlign w:val="superscript"/>
    </w:rPr>
  </w:style>
  <w:style w:type="paragraph" w:styleId="12">
    <w:name w:val="toc 1"/>
    <w:basedOn w:val="a"/>
    <w:next w:val="a"/>
    <w:uiPriority w:val="39"/>
    <w:unhideWhenUsed/>
    <w:rsid w:val="007D4044"/>
    <w:pPr>
      <w:spacing w:after="57"/>
      <w:ind w:firstLine="0"/>
    </w:pPr>
  </w:style>
  <w:style w:type="paragraph" w:styleId="23">
    <w:name w:val="toc 2"/>
    <w:basedOn w:val="a"/>
    <w:next w:val="a"/>
    <w:uiPriority w:val="39"/>
    <w:unhideWhenUsed/>
    <w:rsid w:val="007D4044"/>
    <w:pPr>
      <w:spacing w:after="57"/>
      <w:ind w:left="283" w:firstLine="0"/>
    </w:pPr>
  </w:style>
  <w:style w:type="paragraph" w:styleId="32">
    <w:name w:val="toc 3"/>
    <w:basedOn w:val="a"/>
    <w:next w:val="a"/>
    <w:uiPriority w:val="39"/>
    <w:unhideWhenUsed/>
    <w:rsid w:val="007D4044"/>
    <w:pPr>
      <w:spacing w:after="57"/>
      <w:ind w:left="567" w:firstLine="0"/>
    </w:pPr>
  </w:style>
  <w:style w:type="paragraph" w:styleId="42">
    <w:name w:val="toc 4"/>
    <w:basedOn w:val="a"/>
    <w:next w:val="a"/>
    <w:uiPriority w:val="39"/>
    <w:unhideWhenUsed/>
    <w:rsid w:val="007D4044"/>
    <w:pPr>
      <w:spacing w:after="57"/>
      <w:ind w:left="850" w:firstLine="0"/>
    </w:pPr>
  </w:style>
  <w:style w:type="paragraph" w:styleId="52">
    <w:name w:val="toc 5"/>
    <w:basedOn w:val="a"/>
    <w:next w:val="a"/>
    <w:uiPriority w:val="39"/>
    <w:unhideWhenUsed/>
    <w:rsid w:val="007D4044"/>
    <w:pPr>
      <w:spacing w:after="57"/>
      <w:ind w:left="1134" w:firstLine="0"/>
    </w:pPr>
  </w:style>
  <w:style w:type="paragraph" w:styleId="61">
    <w:name w:val="toc 6"/>
    <w:basedOn w:val="a"/>
    <w:next w:val="a"/>
    <w:uiPriority w:val="39"/>
    <w:unhideWhenUsed/>
    <w:rsid w:val="007D4044"/>
    <w:pPr>
      <w:spacing w:after="57"/>
      <w:ind w:left="1417" w:firstLine="0"/>
    </w:pPr>
  </w:style>
  <w:style w:type="paragraph" w:styleId="71">
    <w:name w:val="toc 7"/>
    <w:basedOn w:val="a"/>
    <w:next w:val="a"/>
    <w:uiPriority w:val="39"/>
    <w:unhideWhenUsed/>
    <w:rsid w:val="007D4044"/>
    <w:pPr>
      <w:spacing w:after="57"/>
      <w:ind w:left="1701" w:firstLine="0"/>
    </w:pPr>
  </w:style>
  <w:style w:type="paragraph" w:styleId="81">
    <w:name w:val="toc 8"/>
    <w:basedOn w:val="a"/>
    <w:next w:val="a"/>
    <w:uiPriority w:val="39"/>
    <w:unhideWhenUsed/>
    <w:rsid w:val="007D4044"/>
    <w:pPr>
      <w:spacing w:after="57"/>
      <w:ind w:left="1984" w:firstLine="0"/>
    </w:pPr>
  </w:style>
  <w:style w:type="paragraph" w:styleId="91">
    <w:name w:val="toc 9"/>
    <w:basedOn w:val="a"/>
    <w:next w:val="a"/>
    <w:uiPriority w:val="39"/>
    <w:unhideWhenUsed/>
    <w:rsid w:val="007D4044"/>
    <w:pPr>
      <w:spacing w:after="57"/>
      <w:ind w:left="2268" w:firstLine="0"/>
    </w:pPr>
  </w:style>
  <w:style w:type="paragraph" w:styleId="ae">
    <w:name w:val="TOC Heading"/>
    <w:uiPriority w:val="39"/>
    <w:unhideWhenUsed/>
    <w:rsid w:val="007D4044"/>
  </w:style>
  <w:style w:type="paragraph" w:styleId="af">
    <w:name w:val="table of figures"/>
    <w:basedOn w:val="a"/>
    <w:next w:val="a"/>
    <w:uiPriority w:val="99"/>
    <w:unhideWhenUsed/>
    <w:rsid w:val="007D4044"/>
  </w:style>
  <w:style w:type="paragraph" w:styleId="af0">
    <w:name w:val="header"/>
    <w:basedOn w:val="a"/>
    <w:link w:val="af1"/>
    <w:uiPriority w:val="99"/>
    <w:unhideWhenUsed/>
    <w:rsid w:val="007D4044"/>
    <w:pPr>
      <w:tabs>
        <w:tab w:val="center" w:pos="4677"/>
        <w:tab w:val="right" w:pos="9355"/>
      </w:tabs>
    </w:pPr>
  </w:style>
  <w:style w:type="character" w:customStyle="1" w:styleId="af1">
    <w:name w:val="Верхний колонтитул Знак"/>
    <w:basedOn w:val="a0"/>
    <w:link w:val="af0"/>
    <w:uiPriority w:val="99"/>
    <w:rsid w:val="007D4044"/>
  </w:style>
  <w:style w:type="paragraph" w:styleId="af2">
    <w:name w:val="footer"/>
    <w:basedOn w:val="a"/>
    <w:link w:val="af3"/>
    <w:uiPriority w:val="99"/>
    <w:semiHidden/>
    <w:unhideWhenUsed/>
    <w:rsid w:val="007D4044"/>
    <w:pPr>
      <w:tabs>
        <w:tab w:val="center" w:pos="4677"/>
        <w:tab w:val="right" w:pos="9355"/>
      </w:tabs>
    </w:pPr>
  </w:style>
  <w:style w:type="character" w:customStyle="1" w:styleId="af3">
    <w:name w:val="Нижний колонтитул Знак"/>
    <w:basedOn w:val="a0"/>
    <w:link w:val="af2"/>
    <w:uiPriority w:val="99"/>
    <w:semiHidden/>
    <w:rsid w:val="007D4044"/>
  </w:style>
  <w:style w:type="table" w:styleId="af4">
    <w:name w:val="Table Grid"/>
    <w:basedOn w:val="a1"/>
    <w:uiPriority w:val="59"/>
    <w:rsid w:val="007D40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D4044"/>
    <w:pPr>
      <w:ind w:firstLine="709"/>
      <w:jc w:val="both"/>
    </w:pPr>
    <w:rPr>
      <w:rFonts w:ascii="Courier New" w:hAnsi="Courier New" w:cs="Courier New"/>
      <w:lang w:eastAsia="en-US"/>
    </w:rPr>
  </w:style>
  <w:style w:type="character" w:customStyle="1" w:styleId="af5">
    <w:name w:val="Основной текст Знак"/>
    <w:link w:val="af6"/>
    <w:rsid w:val="007D4044"/>
    <w:rPr>
      <w:rFonts w:ascii="Calibri" w:hAnsi="Calibri" w:cs="Calibri"/>
      <w:shd w:val="clear" w:color="auto" w:fill="FFFFFF"/>
    </w:rPr>
  </w:style>
  <w:style w:type="paragraph" w:styleId="af6">
    <w:name w:val="Body Text"/>
    <w:basedOn w:val="a"/>
    <w:link w:val="af5"/>
    <w:rsid w:val="007D4044"/>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7D4044"/>
  </w:style>
  <w:style w:type="paragraph" w:styleId="af7">
    <w:name w:val="List Paragraph"/>
    <w:basedOn w:val="a"/>
    <w:uiPriority w:val="34"/>
    <w:qFormat/>
    <w:rsid w:val="007D4044"/>
    <w:pPr>
      <w:ind w:left="720"/>
      <w:contextualSpacing/>
    </w:pPr>
  </w:style>
  <w:style w:type="paragraph" w:customStyle="1" w:styleId="Default">
    <w:name w:val="Default"/>
    <w:rsid w:val="007D4044"/>
    <w:pPr>
      <w:ind w:firstLine="709"/>
      <w:jc w:val="both"/>
    </w:pPr>
    <w:rPr>
      <w:rFonts w:ascii="Times New Roman" w:hAnsi="Times New Roman"/>
      <w:color w:val="000000"/>
      <w:sz w:val="24"/>
      <w:szCs w:val="24"/>
    </w:rPr>
  </w:style>
  <w:style w:type="character" w:customStyle="1" w:styleId="apple-converted-space">
    <w:name w:val="apple-converted-space"/>
    <w:basedOn w:val="a0"/>
    <w:rsid w:val="007D4044"/>
  </w:style>
  <w:style w:type="paragraph" w:styleId="af8">
    <w:name w:val="Normal (Web)"/>
    <w:basedOn w:val="a"/>
    <w:uiPriority w:val="99"/>
    <w:unhideWhenUsed/>
    <w:rsid w:val="007D4044"/>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7D4044"/>
    <w:rPr>
      <w:rFonts w:ascii="Times New Roman" w:eastAsia="Times New Roman" w:hAnsi="Times New Roman"/>
      <w:sz w:val="20"/>
      <w:szCs w:val="20"/>
      <w:lang w:eastAsia="ru-RU"/>
    </w:rPr>
  </w:style>
  <w:style w:type="character" w:customStyle="1" w:styleId="afa">
    <w:name w:val="Текст сноски Знак"/>
    <w:link w:val="af9"/>
    <w:uiPriority w:val="99"/>
    <w:rsid w:val="007D4044"/>
    <w:rPr>
      <w:rFonts w:ascii="Times New Roman" w:eastAsia="Times New Roman" w:hAnsi="Times New Roman" w:cs="Times New Roman"/>
      <w:sz w:val="20"/>
      <w:szCs w:val="20"/>
      <w:lang w:eastAsia="ru-RU"/>
    </w:rPr>
  </w:style>
  <w:style w:type="character" w:styleId="afb">
    <w:name w:val="footnote reference"/>
    <w:uiPriority w:val="99"/>
    <w:semiHidden/>
    <w:rsid w:val="007D4044"/>
    <w:rPr>
      <w:vertAlign w:val="superscript"/>
    </w:rPr>
  </w:style>
  <w:style w:type="character" w:customStyle="1" w:styleId="FontStyle12">
    <w:name w:val="Font Style12"/>
    <w:rsid w:val="007D4044"/>
    <w:rPr>
      <w:rFonts w:ascii="Times New Roman" w:hAnsi="Times New Roman" w:cs="Times New Roman" w:hint="default"/>
      <w:sz w:val="24"/>
      <w:szCs w:val="24"/>
    </w:rPr>
  </w:style>
  <w:style w:type="character" w:customStyle="1" w:styleId="afc">
    <w:name w:val="Основной текст_"/>
    <w:link w:val="14"/>
    <w:rsid w:val="007D4044"/>
    <w:rPr>
      <w:sz w:val="28"/>
      <w:szCs w:val="28"/>
      <w:shd w:val="clear" w:color="auto" w:fill="FFFFFF"/>
    </w:rPr>
  </w:style>
  <w:style w:type="paragraph" w:customStyle="1" w:styleId="14">
    <w:name w:val="Основной текст1"/>
    <w:basedOn w:val="a"/>
    <w:link w:val="afc"/>
    <w:rsid w:val="007D4044"/>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7D4044"/>
    <w:rPr>
      <w:rFonts w:ascii="Tahoma" w:hAnsi="Tahoma" w:cs="Tahoma"/>
      <w:sz w:val="16"/>
      <w:szCs w:val="16"/>
    </w:rPr>
  </w:style>
  <w:style w:type="character" w:customStyle="1" w:styleId="afe">
    <w:name w:val="Текст выноски Знак"/>
    <w:link w:val="afd"/>
    <w:uiPriority w:val="99"/>
    <w:semiHidden/>
    <w:rsid w:val="007D4044"/>
    <w:rPr>
      <w:rFonts w:ascii="Tahoma" w:hAnsi="Tahoma" w:cs="Tahoma"/>
      <w:sz w:val="16"/>
      <w:szCs w:val="16"/>
    </w:rPr>
  </w:style>
  <w:style w:type="character" w:styleId="aff">
    <w:name w:val="annotation reference"/>
    <w:uiPriority w:val="99"/>
    <w:semiHidden/>
    <w:unhideWhenUsed/>
    <w:rsid w:val="007D4044"/>
    <w:rPr>
      <w:sz w:val="16"/>
      <w:szCs w:val="16"/>
    </w:rPr>
  </w:style>
  <w:style w:type="paragraph" w:styleId="aff0">
    <w:name w:val="annotation text"/>
    <w:basedOn w:val="a"/>
    <w:link w:val="aff1"/>
    <w:uiPriority w:val="99"/>
    <w:unhideWhenUsed/>
    <w:rsid w:val="007D4044"/>
    <w:rPr>
      <w:sz w:val="20"/>
      <w:szCs w:val="20"/>
    </w:rPr>
  </w:style>
  <w:style w:type="character" w:customStyle="1" w:styleId="aff1">
    <w:name w:val="Текст примечания Знак"/>
    <w:link w:val="aff0"/>
    <w:uiPriority w:val="99"/>
    <w:rsid w:val="007D4044"/>
    <w:rPr>
      <w:sz w:val="20"/>
      <w:szCs w:val="20"/>
    </w:rPr>
  </w:style>
  <w:style w:type="paragraph" w:styleId="aff2">
    <w:name w:val="annotation subject"/>
    <w:basedOn w:val="aff0"/>
    <w:next w:val="aff0"/>
    <w:link w:val="aff3"/>
    <w:uiPriority w:val="99"/>
    <w:semiHidden/>
    <w:unhideWhenUsed/>
    <w:rsid w:val="007D4044"/>
    <w:rPr>
      <w:b/>
      <w:bCs/>
    </w:rPr>
  </w:style>
  <w:style w:type="character" w:customStyle="1" w:styleId="aff3">
    <w:name w:val="Тема примечания Знак"/>
    <w:link w:val="aff2"/>
    <w:uiPriority w:val="99"/>
    <w:semiHidden/>
    <w:rsid w:val="007D4044"/>
    <w:rPr>
      <w:b/>
      <w:bCs/>
      <w:sz w:val="20"/>
      <w:szCs w:val="20"/>
    </w:rPr>
  </w:style>
  <w:style w:type="character" w:customStyle="1" w:styleId="110">
    <w:name w:val="Основной текст Знак11"/>
    <w:uiPriority w:val="99"/>
    <w:semiHidden/>
    <w:rsid w:val="007D4044"/>
    <w:rPr>
      <w:rFonts w:cs="Times New Roman"/>
    </w:rPr>
  </w:style>
  <w:style w:type="paragraph" w:customStyle="1" w:styleId="ConsPlusNormal">
    <w:name w:val="ConsPlusNormal"/>
    <w:rsid w:val="007D4044"/>
    <w:rPr>
      <w:rFonts w:ascii="Times New Roman" w:hAnsi="Times New Roman"/>
      <w:sz w:val="28"/>
      <w:szCs w:val="28"/>
      <w:lang w:eastAsia="en-US"/>
    </w:rPr>
  </w:style>
  <w:style w:type="paragraph" w:styleId="aff4">
    <w:name w:val="Revision"/>
    <w:hidden/>
    <w:uiPriority w:val="99"/>
    <w:semiHidden/>
    <w:rsid w:val="007D4044"/>
    <w:rPr>
      <w:sz w:val="22"/>
      <w:szCs w:val="22"/>
      <w:lang w:eastAsia="en-US"/>
    </w:rPr>
  </w:style>
  <w:style w:type="character" w:styleId="aff5">
    <w:name w:val="Hyperlink"/>
    <w:basedOn w:val="a0"/>
    <w:uiPriority w:val="99"/>
    <w:unhideWhenUsed/>
    <w:rsid w:val="007D4044"/>
    <w:rPr>
      <w:color w:val="0563C1" w:themeColor="hyperlink"/>
      <w:u w:val="single"/>
    </w:rPr>
  </w:style>
  <w:style w:type="character" w:customStyle="1" w:styleId="FontStyle33">
    <w:name w:val="Font Style33"/>
    <w:basedOn w:val="a0"/>
    <w:uiPriority w:val="99"/>
    <w:rsid w:val="007D404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D62C3709-CDDF-4664-ACD1-69CABA42C3D6}">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62</Pages>
  <Words>26191</Words>
  <Characters>149294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2023-07-25T12:20:00Z</dcterms:created>
  <dcterms:modified xsi:type="dcterms:W3CDTF">2023-07-25T12:20:00Z</dcterms:modified>
</cp:coreProperties>
</file>